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лютого 2016 року                                № 50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left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створення  комісії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із списання майна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Відповідно до п.9) ч.1 ст.39 Закону України “Про місцеві державні адміністрації”, постанови Кабінету Міністрів України від 8 листопада 2007 №1314 “Про затвердження Порядку списання об»єктів державної власності”: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1.Створити  комісію із списання майна районної державної адміністрації в складі: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Голова комісії: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Ю.В.Четирбук – керівник апарату  районної державної адміністрації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Члени комісії: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З.М.Березова – заступник керівника апарату-начальник відділу фінансово-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господарського забезпечення;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І.І.Курилець –головний спеціаліст сектору взаємодії з правоохоронними органами, оборонної, мобілізаційної роботи, запобігання та виявлення корупції апарату районної державної адміністрації;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О.В.Шилич –головний спеціаліст відділу організаційно-кадрової роботи апарату районної державної адміністрації;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В.С.Козачок –головний спеціаліст відділу фінансово-господарського забезпечення апарату районної державної адміністрації;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 Комісії провести списання непридатного для подальшого використання майна  районної державної адміністрації відповідно до чинного законодавства.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покласти на керівника апарату  районної державної адміністрації Ю.Четирбука.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417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